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182C" w14:textId="6B32C97D" w:rsidR="003C4F8A" w:rsidRPr="000F12B0" w:rsidRDefault="00480DDB" w:rsidP="003C4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</w:t>
      </w:r>
      <w:r w:rsidR="003C4F8A" w:rsidRPr="000F12B0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U</w:t>
      </w:r>
      <w:r w:rsidR="003C4F8A" w:rsidRPr="000F12B0">
        <w:rPr>
          <w:b/>
          <w:sz w:val="28"/>
          <w:szCs w:val="28"/>
        </w:rPr>
        <w:t xml:space="preserve"> KOMUNIKACJI</w:t>
      </w:r>
      <w:r w:rsidR="003C4F8A">
        <w:rPr>
          <w:b/>
          <w:sz w:val="28"/>
          <w:szCs w:val="28"/>
        </w:rPr>
        <w:t xml:space="preserve"> ZE SPOŁECZNOŚCIĄ LOKALNĄ na rok 2024</w:t>
      </w:r>
    </w:p>
    <w:tbl>
      <w:tblPr>
        <w:tblStyle w:val="Tabela-Siatka"/>
        <w:tblW w:w="14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3828"/>
        <w:gridCol w:w="2976"/>
        <w:gridCol w:w="2268"/>
        <w:gridCol w:w="3507"/>
        <w:gridCol w:w="1029"/>
      </w:tblGrid>
      <w:tr w:rsidR="00480DDB" w:rsidRPr="000F12B0" w14:paraId="416F4E0A" w14:textId="77777777" w:rsidTr="00480DDB">
        <w:tc>
          <w:tcPr>
            <w:tcW w:w="1021" w:type="dxa"/>
          </w:tcPr>
          <w:p w14:paraId="26DFAE6A" w14:textId="77777777" w:rsidR="003C4F8A" w:rsidRPr="000F12B0" w:rsidRDefault="003C4F8A" w:rsidP="00C02D2D">
            <w:pPr>
              <w:rPr>
                <w:b/>
              </w:rPr>
            </w:pPr>
            <w:r w:rsidRPr="000F12B0">
              <w:rPr>
                <w:b/>
              </w:rPr>
              <w:t>Termin</w:t>
            </w:r>
          </w:p>
        </w:tc>
        <w:tc>
          <w:tcPr>
            <w:tcW w:w="3828" w:type="dxa"/>
          </w:tcPr>
          <w:p w14:paraId="6E32EBC0" w14:textId="77777777" w:rsidR="003C4F8A" w:rsidRPr="000F12B0" w:rsidRDefault="003C4F8A" w:rsidP="00C02D2D">
            <w:pPr>
              <w:rPr>
                <w:b/>
              </w:rPr>
            </w:pPr>
            <w:r w:rsidRPr="000F12B0">
              <w:rPr>
                <w:b/>
              </w:rPr>
              <w:t>Adresaci</w:t>
            </w:r>
          </w:p>
        </w:tc>
        <w:tc>
          <w:tcPr>
            <w:tcW w:w="2976" w:type="dxa"/>
          </w:tcPr>
          <w:p w14:paraId="328B1D63" w14:textId="77777777" w:rsidR="003C4F8A" w:rsidRPr="000F12B0" w:rsidRDefault="003C4F8A" w:rsidP="00C02D2D">
            <w:pPr>
              <w:rPr>
                <w:b/>
              </w:rPr>
            </w:pPr>
            <w:r>
              <w:rPr>
                <w:b/>
              </w:rPr>
              <w:t>Nazwa działania</w:t>
            </w:r>
          </w:p>
        </w:tc>
        <w:tc>
          <w:tcPr>
            <w:tcW w:w="2268" w:type="dxa"/>
          </w:tcPr>
          <w:p w14:paraId="1DF32387" w14:textId="77777777" w:rsidR="003C4F8A" w:rsidRPr="000F12B0" w:rsidRDefault="003C4F8A" w:rsidP="00C02D2D">
            <w:pPr>
              <w:rPr>
                <w:b/>
              </w:rPr>
            </w:pPr>
            <w:r w:rsidRPr="000F12B0">
              <w:rPr>
                <w:b/>
              </w:rPr>
              <w:t>Wskaźniki</w:t>
            </w:r>
          </w:p>
        </w:tc>
        <w:tc>
          <w:tcPr>
            <w:tcW w:w="3507" w:type="dxa"/>
          </w:tcPr>
          <w:p w14:paraId="13A6AD3D" w14:textId="77777777" w:rsidR="003C4F8A" w:rsidRPr="000F12B0" w:rsidRDefault="003C4F8A" w:rsidP="00C02D2D">
            <w:pPr>
              <w:rPr>
                <w:b/>
              </w:rPr>
            </w:pPr>
            <w:r w:rsidRPr="000F12B0">
              <w:rPr>
                <w:b/>
              </w:rPr>
              <w:t>Planowane efekty</w:t>
            </w:r>
          </w:p>
        </w:tc>
        <w:tc>
          <w:tcPr>
            <w:tcW w:w="1029" w:type="dxa"/>
          </w:tcPr>
          <w:p w14:paraId="7C50C3AA" w14:textId="77777777" w:rsidR="003C4F8A" w:rsidRPr="000F12B0" w:rsidRDefault="003C4F8A" w:rsidP="00C02D2D">
            <w:pPr>
              <w:rPr>
                <w:b/>
              </w:rPr>
            </w:pPr>
            <w:r>
              <w:rPr>
                <w:b/>
              </w:rPr>
              <w:t>budżet</w:t>
            </w:r>
          </w:p>
        </w:tc>
      </w:tr>
      <w:tr w:rsidR="00480DDB" w14:paraId="56A27CE3" w14:textId="77777777" w:rsidTr="00480DDB">
        <w:tc>
          <w:tcPr>
            <w:tcW w:w="1021" w:type="dxa"/>
          </w:tcPr>
          <w:p w14:paraId="6611A415" w14:textId="77777777" w:rsidR="003C4F8A" w:rsidRDefault="003C4F8A" w:rsidP="00C02D2D">
            <w:r>
              <w:t>II połowa 2024r.</w:t>
            </w:r>
          </w:p>
        </w:tc>
        <w:tc>
          <w:tcPr>
            <w:tcW w:w="3828" w:type="dxa"/>
          </w:tcPr>
          <w:p w14:paraId="4DD09A49" w14:textId="77777777" w:rsidR="003C4F8A" w:rsidRDefault="003C4F8A" w:rsidP="00C02D2D">
            <w:r>
              <w:t xml:space="preserve">Wszyscy potencjalni wnioskodawcy, </w:t>
            </w:r>
          </w:p>
          <w:p w14:paraId="56BBC87F" w14:textId="77777777" w:rsidR="003C4F8A" w:rsidRPr="006E7C2F" w:rsidRDefault="003C4F8A" w:rsidP="00C02D2D">
            <w:r w:rsidRPr="006E7C2F">
              <w:t>w</w:t>
            </w:r>
            <w:r w:rsidRPr="006E7C2F">
              <w:rPr>
                <w:spacing w:val="-14"/>
              </w:rPr>
              <w:t xml:space="preserve"> </w:t>
            </w:r>
            <w:r w:rsidRPr="006E7C2F">
              <w:t>szczególności rolnicy, przedsiębiorcy, organizacje</w:t>
            </w:r>
          </w:p>
          <w:p w14:paraId="7D079224" w14:textId="77777777" w:rsidR="003C4F8A" w:rsidRPr="006E7C2F" w:rsidRDefault="003C4F8A" w:rsidP="00C02D2D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6E7C2F">
              <w:rPr>
                <w:rFonts w:asciiTheme="minorHAnsi" w:hAnsiTheme="minorHAnsi" w:cstheme="minorHAnsi"/>
                <w:spacing w:val="-2"/>
              </w:rPr>
              <w:t>pozarządowe</w:t>
            </w:r>
          </w:p>
          <w:p w14:paraId="267E5F66" w14:textId="77777777" w:rsidR="003C4F8A" w:rsidRDefault="003C4F8A" w:rsidP="00C02D2D">
            <w:r w:rsidRPr="006E7C2F">
              <w:rPr>
                <w:rFonts w:cstheme="minorHAnsi"/>
              </w:rPr>
              <w:t>i mieszkańcy obszaru,</w:t>
            </w:r>
            <w:r w:rsidRPr="006E7C2F">
              <w:rPr>
                <w:rFonts w:cstheme="minorHAnsi"/>
                <w:spacing w:val="-14"/>
              </w:rPr>
              <w:t xml:space="preserve"> </w:t>
            </w:r>
            <w:r w:rsidRPr="006E7C2F">
              <w:rPr>
                <w:rFonts w:cstheme="minorHAnsi"/>
              </w:rPr>
              <w:t xml:space="preserve">grupy osób w </w:t>
            </w:r>
            <w:r w:rsidRPr="006E7C2F">
              <w:rPr>
                <w:rFonts w:cstheme="minorHAnsi"/>
                <w:spacing w:val="-2"/>
              </w:rPr>
              <w:t xml:space="preserve">niekorzystnej </w:t>
            </w:r>
            <w:r w:rsidRPr="006E7C2F">
              <w:rPr>
                <w:rFonts w:cstheme="minorHAnsi"/>
              </w:rPr>
              <w:t>sytuacji,</w:t>
            </w:r>
          </w:p>
        </w:tc>
        <w:tc>
          <w:tcPr>
            <w:tcW w:w="2976" w:type="dxa"/>
          </w:tcPr>
          <w:p w14:paraId="591E8A52" w14:textId="77777777" w:rsidR="003C4F8A" w:rsidRPr="006E7C2F" w:rsidRDefault="003C4F8A" w:rsidP="00C02D2D">
            <w:r w:rsidRPr="006E7C2F">
              <w:t>Kampania informacyjna dotycząca obowiązków</w:t>
            </w:r>
          </w:p>
          <w:p w14:paraId="03AD4376" w14:textId="77777777" w:rsidR="003C4F8A" w:rsidRDefault="003C4F8A" w:rsidP="00C02D2D">
            <w:r w:rsidRPr="006E7C2F">
              <w:rPr>
                <w:rFonts w:cstheme="minorHAnsi"/>
                <w:spacing w:val="-2"/>
              </w:rPr>
              <w:t xml:space="preserve">komunikacyjnych beneficjentów </w:t>
            </w:r>
            <w:r w:rsidRPr="006E7C2F">
              <w:rPr>
                <w:rFonts w:cstheme="minorHAnsi"/>
                <w:spacing w:val="-4"/>
              </w:rPr>
              <w:t>EFSI</w:t>
            </w:r>
          </w:p>
        </w:tc>
        <w:tc>
          <w:tcPr>
            <w:tcW w:w="2268" w:type="dxa"/>
          </w:tcPr>
          <w:p w14:paraId="2901A6EA" w14:textId="77777777" w:rsidR="003C4F8A" w:rsidRPr="00757CF5" w:rsidRDefault="003C4F8A" w:rsidP="00C02D2D">
            <w:pPr>
              <w:pStyle w:val="TableParagraph"/>
              <w:spacing w:before="179"/>
              <w:rPr>
                <w:rFonts w:asciiTheme="minorHAnsi" w:hAnsiTheme="minorHAnsi" w:cstheme="minorHAnsi"/>
              </w:rPr>
            </w:pPr>
            <w:r w:rsidRPr="00757CF5">
              <w:rPr>
                <w:rFonts w:asciiTheme="minorHAnsi" w:hAnsiTheme="minorHAnsi" w:cstheme="minorHAnsi"/>
              </w:rPr>
              <w:t>Artykuł</w:t>
            </w:r>
            <w:r w:rsidRPr="00757CF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57CF5">
              <w:rPr>
                <w:rFonts w:asciiTheme="minorHAnsi" w:hAnsiTheme="minorHAnsi" w:cstheme="minorHAnsi"/>
                <w:spacing w:val="-2"/>
              </w:rPr>
              <w:t>zamieszczony</w:t>
            </w:r>
          </w:p>
          <w:p w14:paraId="3F6D1675" w14:textId="77777777" w:rsidR="003C4F8A" w:rsidRPr="00757CF5" w:rsidRDefault="003C4F8A" w:rsidP="00C02D2D">
            <w:r w:rsidRPr="00757CF5">
              <w:t>na</w:t>
            </w:r>
            <w:r w:rsidRPr="00757CF5">
              <w:rPr>
                <w:spacing w:val="-4"/>
              </w:rPr>
              <w:t xml:space="preserve"> </w:t>
            </w:r>
            <w:r w:rsidRPr="00757CF5">
              <w:t>stronie</w:t>
            </w:r>
            <w:r w:rsidRPr="00757CF5">
              <w:rPr>
                <w:spacing w:val="-3"/>
              </w:rPr>
              <w:t xml:space="preserve"> </w:t>
            </w:r>
            <w:r w:rsidRPr="00757CF5">
              <w:t>LGD, aktualizowany niezwłocznie w przypadku</w:t>
            </w:r>
            <w:r w:rsidRPr="00757CF5">
              <w:rPr>
                <w:spacing w:val="-14"/>
              </w:rPr>
              <w:t xml:space="preserve"> </w:t>
            </w:r>
            <w:r w:rsidRPr="00757CF5">
              <w:t>zmiany</w:t>
            </w:r>
          </w:p>
          <w:p w14:paraId="570349DD" w14:textId="77777777" w:rsidR="003C4F8A" w:rsidRPr="00757CF5" w:rsidRDefault="003C4F8A" w:rsidP="00C02D2D">
            <w:pPr>
              <w:pStyle w:val="TableParagraph"/>
              <w:spacing w:line="259" w:lineRule="auto"/>
              <w:ind w:right="215"/>
              <w:rPr>
                <w:rFonts w:asciiTheme="minorHAnsi" w:hAnsiTheme="minorHAnsi" w:cstheme="minorHAnsi"/>
              </w:rPr>
            </w:pPr>
            <w:r w:rsidRPr="00757CF5">
              <w:rPr>
                <w:rFonts w:asciiTheme="minorHAnsi" w:hAnsiTheme="minorHAnsi" w:cstheme="minorHAnsi"/>
              </w:rPr>
              <w:t xml:space="preserve">przepisów dotyczących </w:t>
            </w:r>
            <w:r w:rsidRPr="00757CF5">
              <w:rPr>
                <w:rFonts w:asciiTheme="minorHAnsi" w:hAnsiTheme="minorHAnsi" w:cstheme="minorHAnsi"/>
                <w:spacing w:val="-2"/>
              </w:rPr>
              <w:t>obowiązków komunikacyjnych.</w:t>
            </w:r>
          </w:p>
          <w:p w14:paraId="34358870" w14:textId="77777777" w:rsidR="003C4F8A" w:rsidRPr="00757CF5" w:rsidRDefault="003C4F8A" w:rsidP="00C02D2D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757CF5">
              <w:rPr>
                <w:rFonts w:asciiTheme="minorHAnsi" w:hAnsiTheme="minorHAnsi" w:cstheme="minorHAnsi"/>
                <w:spacing w:val="-2"/>
              </w:rPr>
              <w:t>Monitoring</w:t>
            </w:r>
          </w:p>
          <w:p w14:paraId="579CE07D" w14:textId="1694C127" w:rsidR="003C4F8A" w:rsidRPr="00480DDB" w:rsidRDefault="003C4F8A" w:rsidP="00C02D2D">
            <w:pPr>
              <w:rPr>
                <w:rFonts w:cstheme="minorHAnsi"/>
                <w:spacing w:val="-4"/>
              </w:rPr>
            </w:pPr>
            <w:r w:rsidRPr="00757CF5">
              <w:rPr>
                <w:rFonts w:cstheme="minorHAnsi"/>
              </w:rPr>
              <w:t>oglądalności</w:t>
            </w:r>
            <w:r w:rsidRPr="00757CF5">
              <w:rPr>
                <w:rFonts w:cstheme="minorHAnsi"/>
                <w:spacing w:val="-14"/>
              </w:rPr>
              <w:t xml:space="preserve"> </w:t>
            </w:r>
            <w:r w:rsidRPr="00757CF5">
              <w:rPr>
                <w:rFonts w:cstheme="minorHAnsi"/>
              </w:rPr>
              <w:t xml:space="preserve">strony </w:t>
            </w:r>
            <w:r w:rsidRPr="00757CF5">
              <w:rPr>
                <w:rFonts w:cstheme="minorHAnsi"/>
                <w:spacing w:val="-4"/>
              </w:rPr>
              <w:t>LGD</w:t>
            </w:r>
          </w:p>
        </w:tc>
        <w:tc>
          <w:tcPr>
            <w:tcW w:w="3507" w:type="dxa"/>
          </w:tcPr>
          <w:p w14:paraId="385CFBD8" w14:textId="77777777" w:rsidR="003C4F8A" w:rsidRPr="00B7382B" w:rsidRDefault="003C4F8A" w:rsidP="00C02D2D">
            <w:r w:rsidRPr="00B7382B">
              <w:t>Poinformowanie potencjalnych wnioskodawców o konieczności przestrzegania obowiązków</w:t>
            </w:r>
          </w:p>
          <w:p w14:paraId="62365E8A" w14:textId="77777777" w:rsidR="003C4F8A" w:rsidRPr="00B7382B" w:rsidRDefault="003C4F8A" w:rsidP="00C02D2D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  <w:r w:rsidRPr="00B7382B">
              <w:rPr>
                <w:rFonts w:asciiTheme="minorHAnsi" w:hAnsiTheme="minorHAnsi" w:cstheme="minorHAnsi"/>
                <w:spacing w:val="-2"/>
              </w:rPr>
              <w:t xml:space="preserve">komunikacyjnych </w:t>
            </w:r>
            <w:r w:rsidRPr="00B7382B">
              <w:rPr>
                <w:rFonts w:asciiTheme="minorHAnsi" w:hAnsiTheme="minorHAnsi" w:cstheme="minorHAnsi"/>
              </w:rPr>
              <w:t>wynikających</w:t>
            </w:r>
            <w:r w:rsidRPr="00B7382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7382B">
              <w:rPr>
                <w:rFonts w:asciiTheme="minorHAnsi" w:hAnsiTheme="minorHAnsi" w:cstheme="minorHAnsi"/>
              </w:rPr>
              <w:t>z</w:t>
            </w:r>
            <w:r w:rsidRPr="00B7382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7382B">
              <w:rPr>
                <w:rFonts w:asciiTheme="minorHAnsi" w:hAnsiTheme="minorHAnsi" w:cstheme="minorHAnsi"/>
              </w:rPr>
              <w:t>art. 50 ust. 1</w:t>
            </w:r>
          </w:p>
          <w:p w14:paraId="5AD5C280" w14:textId="77777777" w:rsidR="003C4F8A" w:rsidRPr="00B7382B" w:rsidRDefault="003C4F8A" w:rsidP="00C02D2D">
            <w:pPr>
              <w:pStyle w:val="TableParagraph"/>
              <w:spacing w:line="259" w:lineRule="auto"/>
              <w:ind w:right="153"/>
              <w:rPr>
                <w:rFonts w:asciiTheme="minorHAnsi" w:hAnsiTheme="minorHAnsi" w:cstheme="minorHAnsi"/>
              </w:rPr>
            </w:pPr>
            <w:r w:rsidRPr="00B7382B">
              <w:rPr>
                <w:rFonts w:asciiTheme="minorHAnsi" w:hAnsiTheme="minorHAnsi" w:cstheme="minorHAnsi"/>
              </w:rPr>
              <w:t>rozporządzenia</w:t>
            </w:r>
            <w:r w:rsidRPr="00B7382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7382B">
              <w:rPr>
                <w:rFonts w:asciiTheme="minorHAnsi" w:hAnsiTheme="minorHAnsi" w:cstheme="minorHAnsi"/>
              </w:rPr>
              <w:t>UE 2021/1060 oraz zasad</w:t>
            </w:r>
            <w:r w:rsidRPr="00B7382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7382B">
              <w:rPr>
                <w:rFonts w:asciiTheme="minorHAnsi" w:hAnsiTheme="minorHAnsi" w:cstheme="minorHAnsi"/>
              </w:rPr>
              <w:t xml:space="preserve">komunikacji, </w:t>
            </w:r>
            <w:r w:rsidRPr="00B7382B">
              <w:rPr>
                <w:rFonts w:asciiTheme="minorHAnsi" w:hAnsiTheme="minorHAnsi" w:cstheme="minorHAnsi"/>
                <w:spacing w:val="-2"/>
              </w:rPr>
              <w:t>zgodnie</w:t>
            </w:r>
          </w:p>
          <w:p w14:paraId="559397B1" w14:textId="77777777" w:rsidR="003C4F8A" w:rsidRDefault="003C4F8A" w:rsidP="00C02D2D">
            <w:pPr>
              <w:rPr>
                <w:spacing w:val="-5"/>
              </w:rPr>
            </w:pPr>
            <w:r w:rsidRPr="00B7382B">
              <w:rPr>
                <w:rFonts w:cstheme="minorHAnsi"/>
              </w:rPr>
              <w:t>z informacjami przekazanymi</w:t>
            </w:r>
            <w:r w:rsidRPr="00B7382B">
              <w:rPr>
                <w:rFonts w:cstheme="minorHAnsi"/>
                <w:spacing w:val="-14"/>
              </w:rPr>
              <w:t xml:space="preserve"> </w:t>
            </w:r>
            <w:r w:rsidRPr="00B7382B">
              <w:rPr>
                <w:rFonts w:cstheme="minorHAnsi"/>
              </w:rPr>
              <w:t>LGD przez</w:t>
            </w:r>
            <w:r w:rsidRPr="00B7382B">
              <w:rPr>
                <w:rFonts w:cstheme="minorHAnsi"/>
                <w:spacing w:val="40"/>
              </w:rPr>
              <w:t xml:space="preserve"> </w:t>
            </w:r>
            <w:r w:rsidRPr="00B7382B">
              <w:rPr>
                <w:rFonts w:cstheme="minorHAnsi"/>
              </w:rPr>
              <w:t>IZ oraz</w:t>
            </w:r>
            <w:r>
              <w:rPr>
                <w:rFonts w:cstheme="minorHAnsi"/>
              </w:rPr>
              <w:t xml:space="preserve"> </w:t>
            </w:r>
            <w:r>
              <w:t>księgą wizualizacji w</w:t>
            </w:r>
            <w:r>
              <w:rPr>
                <w:spacing w:val="-3"/>
              </w:rPr>
              <w:t xml:space="preserve"> </w:t>
            </w:r>
            <w:r>
              <w:t>zakresie</w:t>
            </w:r>
            <w:r>
              <w:rPr>
                <w:spacing w:val="-1"/>
              </w:rPr>
              <w:t xml:space="preserve"> </w:t>
            </w:r>
            <w:r>
              <w:t>PS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WPR.</w:t>
            </w:r>
          </w:p>
          <w:p w14:paraId="1A2F506C" w14:textId="77777777" w:rsidR="003C4F8A" w:rsidRDefault="003C4F8A" w:rsidP="00C02D2D">
            <w:pPr>
              <w:pStyle w:val="TableParagraph"/>
              <w:spacing w:line="249" w:lineRule="exact"/>
            </w:pPr>
            <w:r>
              <w:rPr>
                <w:spacing w:val="-2"/>
              </w:rPr>
              <w:t>Monitoring</w:t>
            </w:r>
          </w:p>
          <w:p w14:paraId="242D0106" w14:textId="77777777" w:rsidR="003C4F8A" w:rsidRPr="00B4259B" w:rsidRDefault="003C4F8A" w:rsidP="00C02D2D">
            <w:pPr>
              <w:rPr>
                <w:spacing w:val="-4"/>
              </w:rPr>
            </w:pPr>
            <w:r>
              <w:t>oglądalności</w:t>
            </w:r>
            <w:r>
              <w:rPr>
                <w:spacing w:val="-14"/>
              </w:rPr>
              <w:t xml:space="preserve"> </w:t>
            </w:r>
            <w:r>
              <w:t xml:space="preserve">strony </w:t>
            </w:r>
            <w:r>
              <w:rPr>
                <w:spacing w:val="-4"/>
              </w:rPr>
              <w:t>LGD.</w:t>
            </w:r>
          </w:p>
        </w:tc>
        <w:tc>
          <w:tcPr>
            <w:tcW w:w="1029" w:type="dxa"/>
          </w:tcPr>
          <w:p w14:paraId="6D8D0916" w14:textId="77777777" w:rsidR="003C4F8A" w:rsidRDefault="003C4F8A" w:rsidP="00C02D2D">
            <w:r>
              <w:t>500,00 Euro</w:t>
            </w:r>
          </w:p>
        </w:tc>
      </w:tr>
      <w:tr w:rsidR="00480DDB" w14:paraId="6C6DAE2C" w14:textId="77777777" w:rsidTr="00480DDB">
        <w:tc>
          <w:tcPr>
            <w:tcW w:w="1021" w:type="dxa"/>
          </w:tcPr>
          <w:p w14:paraId="329DFFE2" w14:textId="77777777" w:rsidR="003C4F8A" w:rsidRDefault="003C4F8A" w:rsidP="00C02D2D">
            <w:r>
              <w:t>II połowa 2024r.</w:t>
            </w:r>
          </w:p>
          <w:p w14:paraId="726E5EC2" w14:textId="77777777" w:rsidR="003C4F8A" w:rsidRDefault="003C4F8A" w:rsidP="00C02D2D"/>
        </w:tc>
        <w:tc>
          <w:tcPr>
            <w:tcW w:w="3828" w:type="dxa"/>
          </w:tcPr>
          <w:p w14:paraId="0F363AA1" w14:textId="77777777" w:rsidR="003C4F8A" w:rsidRDefault="003C4F8A" w:rsidP="00C02D2D">
            <w:r>
              <w:t xml:space="preserve">Wszyscy potencjalni wnioskodawcy, w szczególności przedsiębiorcy, rolnicy oraz organizacje pozarządowe i mieszkańcy obszaru LGD, grupy osób w </w:t>
            </w:r>
            <w:r>
              <w:rPr>
                <w:spacing w:val="-2"/>
              </w:rPr>
              <w:t xml:space="preserve">niekorzystnej sytuacji tj. </w:t>
            </w:r>
            <w:r w:rsidRPr="005F6EF7">
              <w:rPr>
                <w:rFonts w:cstheme="minorHAnsi"/>
              </w:rPr>
              <w:t>kobiety, osoby młode do 25 r.ż., seniorzy oraz osoby poszukujące pracy</w:t>
            </w:r>
            <w:r>
              <w:rPr>
                <w:rFonts w:cstheme="minorHAnsi"/>
              </w:rPr>
              <w:t>, Organy LGD i pracownicy biura</w:t>
            </w:r>
          </w:p>
        </w:tc>
        <w:tc>
          <w:tcPr>
            <w:tcW w:w="2976" w:type="dxa"/>
          </w:tcPr>
          <w:p w14:paraId="2E73F999" w14:textId="77777777" w:rsidR="003C4F8A" w:rsidRPr="00757CF5" w:rsidRDefault="003C4F8A" w:rsidP="00C02D2D">
            <w:pPr>
              <w:pStyle w:val="TableParagraph"/>
              <w:spacing w:line="259" w:lineRule="auto"/>
              <w:rPr>
                <w:rFonts w:asciiTheme="minorHAnsi" w:hAnsiTheme="minorHAnsi" w:cstheme="minorHAnsi"/>
              </w:rPr>
            </w:pPr>
            <w:r w:rsidRPr="00757CF5">
              <w:rPr>
                <w:rFonts w:asciiTheme="minorHAnsi" w:hAnsiTheme="minorHAnsi" w:cstheme="minorHAnsi"/>
                <w:spacing w:val="-2"/>
              </w:rPr>
              <w:t>Poinformowanie potencjalnych</w:t>
            </w:r>
          </w:p>
          <w:p w14:paraId="323B2485" w14:textId="77777777" w:rsidR="003C4F8A" w:rsidRDefault="003C4F8A" w:rsidP="00C02D2D">
            <w:pPr>
              <w:rPr>
                <w:spacing w:val="-2"/>
              </w:rPr>
            </w:pPr>
            <w:r w:rsidRPr="00757CF5">
              <w:rPr>
                <w:rFonts w:cstheme="minorHAnsi"/>
              </w:rPr>
              <w:t>wnioskodawców</w:t>
            </w:r>
            <w:r w:rsidRPr="00757CF5">
              <w:rPr>
                <w:rFonts w:cstheme="minorHAnsi"/>
                <w:spacing w:val="-14"/>
              </w:rPr>
              <w:t xml:space="preserve"> </w:t>
            </w:r>
            <w:r w:rsidRPr="00757CF5">
              <w:rPr>
                <w:rFonts w:cstheme="minorHAnsi"/>
              </w:rPr>
              <w:t xml:space="preserve">o </w:t>
            </w:r>
            <w:r w:rsidRPr="00757CF5">
              <w:rPr>
                <w:rFonts w:cstheme="minorHAnsi"/>
                <w:spacing w:val="-2"/>
              </w:rPr>
              <w:t>zasadach pozyskiwania</w:t>
            </w:r>
            <w:r>
              <w:rPr>
                <w:rFonts w:cstheme="minorHAnsi"/>
                <w:spacing w:val="-2"/>
              </w:rPr>
              <w:t xml:space="preserve"> </w:t>
            </w:r>
            <w:r>
              <w:t>środków,</w:t>
            </w:r>
            <w:r>
              <w:rPr>
                <w:spacing w:val="-14"/>
              </w:rPr>
              <w:t xml:space="preserve"> </w:t>
            </w:r>
            <w:r>
              <w:t xml:space="preserve">kryteriach oceny używanych przez Radę i zasadach realizacji i rozliczania </w:t>
            </w:r>
            <w:r>
              <w:rPr>
                <w:spacing w:val="-2"/>
              </w:rPr>
              <w:t>projektów.</w:t>
            </w:r>
          </w:p>
          <w:p w14:paraId="21F4D62A" w14:textId="77777777" w:rsidR="003C4F8A" w:rsidRDefault="003C4F8A" w:rsidP="00C02D2D">
            <w:r>
              <w:rPr>
                <w:spacing w:val="-2"/>
              </w:rPr>
              <w:t>Podnoszenie wiedzy z zakresu wdrażania LSR</w:t>
            </w:r>
          </w:p>
        </w:tc>
        <w:tc>
          <w:tcPr>
            <w:tcW w:w="2268" w:type="dxa"/>
          </w:tcPr>
          <w:p w14:paraId="48C8C68D" w14:textId="77777777" w:rsidR="003C4F8A" w:rsidRDefault="003C4F8A" w:rsidP="00C02D2D">
            <w:r>
              <w:t>- liczba spotkań informacyjno-szkoleniowych,</w:t>
            </w:r>
          </w:p>
          <w:p w14:paraId="5975D907" w14:textId="77777777" w:rsidR="003C4F8A" w:rsidRDefault="003C4F8A" w:rsidP="00C02D2D">
            <w:r>
              <w:t>- doradztwo indywidualne,</w:t>
            </w:r>
          </w:p>
          <w:p w14:paraId="1913B82A" w14:textId="77777777" w:rsidR="003C4F8A" w:rsidRDefault="003C4F8A" w:rsidP="00C02D2D">
            <w:r>
              <w:t>- spotkania szkoleniowe.</w:t>
            </w:r>
          </w:p>
        </w:tc>
        <w:tc>
          <w:tcPr>
            <w:tcW w:w="3507" w:type="dxa"/>
          </w:tcPr>
          <w:p w14:paraId="248CD5D6" w14:textId="77777777" w:rsidR="003C4F8A" w:rsidRDefault="003C4F8A" w:rsidP="00C02D2D">
            <w:r>
              <w:t>- liczba osób na spotkaniach- 500 osób,</w:t>
            </w:r>
          </w:p>
          <w:p w14:paraId="49F43D85" w14:textId="77777777" w:rsidR="003C4F8A" w:rsidRDefault="003C4F8A" w:rsidP="00C02D2D">
            <w:r>
              <w:t>- liczba spotkań - 5</w:t>
            </w:r>
          </w:p>
          <w:p w14:paraId="39E8FBCC" w14:textId="77777777" w:rsidR="003C4F8A" w:rsidRDefault="003C4F8A" w:rsidP="00C02D2D">
            <w:r>
              <w:t>- liczba rozdanych ulotek – 1kpl.</w:t>
            </w:r>
          </w:p>
          <w:p w14:paraId="3A108AD7" w14:textId="77777777" w:rsidR="003C4F8A" w:rsidRDefault="003C4F8A" w:rsidP="00C02D2D">
            <w:r>
              <w:t>- liczba osób na szkoleniu – 27 osób</w:t>
            </w:r>
          </w:p>
        </w:tc>
        <w:tc>
          <w:tcPr>
            <w:tcW w:w="1029" w:type="dxa"/>
          </w:tcPr>
          <w:p w14:paraId="27AB29C2" w14:textId="77777777" w:rsidR="003C4F8A" w:rsidRDefault="003C4F8A" w:rsidP="00C02D2D">
            <w:r>
              <w:t>1 000,00 Euro</w:t>
            </w:r>
          </w:p>
        </w:tc>
      </w:tr>
    </w:tbl>
    <w:p w14:paraId="1E8FF77C" w14:textId="77777777" w:rsidR="00E70B57" w:rsidRDefault="00E70B57"/>
    <w:sectPr w:rsidR="00E70B57" w:rsidSect="00A375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8A"/>
    <w:rsid w:val="00203C7A"/>
    <w:rsid w:val="003C4F8A"/>
    <w:rsid w:val="00480DDB"/>
    <w:rsid w:val="00A375EB"/>
    <w:rsid w:val="00E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BCC5"/>
  <w15:chartTrackingRefBased/>
  <w15:docId w15:val="{3D37B83C-107A-4DF4-8B60-4E21904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F8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F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F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F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F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F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F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F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F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F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F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F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F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F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F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4F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4F8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4F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F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F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C4F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C4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Mikołajczyk</dc:creator>
  <cp:keywords/>
  <dc:description/>
  <cp:lastModifiedBy>Marcin Mikołajczyk</cp:lastModifiedBy>
  <cp:revision>2</cp:revision>
  <dcterms:created xsi:type="dcterms:W3CDTF">2024-04-23T12:53:00Z</dcterms:created>
  <dcterms:modified xsi:type="dcterms:W3CDTF">2024-04-23T12:59:00Z</dcterms:modified>
</cp:coreProperties>
</file>